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84" w:rsidRPr="00496E9C" w:rsidRDefault="00E87184" w:rsidP="00E87184">
      <w:pPr>
        <w:autoSpaceDE w:val="0"/>
        <w:autoSpaceDN w:val="0"/>
        <w:adjustRightInd w:val="0"/>
        <w:spacing w:line="400" w:lineRule="exact"/>
        <w:ind w:firstLine="240"/>
        <w:rPr>
          <w:rFonts w:hAnsi="標楷體"/>
          <w:color w:val="000000"/>
          <w:kern w:val="0"/>
        </w:rPr>
      </w:pPr>
      <w:r w:rsidRPr="00496E9C">
        <w:rPr>
          <w:rFonts w:hAnsi="標楷體"/>
          <w:color w:val="000000"/>
          <w:kern w:val="0"/>
        </w:rPr>
        <w:t>（七）摘要範本如下：</w:t>
      </w:r>
    </w:p>
    <w:p w:rsidR="00E87184" w:rsidRPr="00496E9C" w:rsidRDefault="00E87184" w:rsidP="00E87184">
      <w:pPr>
        <w:autoSpaceDE w:val="0"/>
        <w:autoSpaceDN w:val="0"/>
        <w:adjustRightInd w:val="0"/>
        <w:spacing w:line="400" w:lineRule="exact"/>
        <w:ind w:firstLine="240"/>
        <w:rPr>
          <w:rFonts w:hint="eastAsia"/>
          <w:color w:val="000000"/>
          <w:kern w:val="0"/>
        </w:rPr>
      </w:pPr>
    </w:p>
    <w:p w:rsidR="00E87184" w:rsidRPr="00496E9C" w:rsidRDefault="00E87184" w:rsidP="00E87184">
      <w:pPr>
        <w:autoSpaceDE w:val="0"/>
        <w:autoSpaceDN w:val="0"/>
        <w:adjustRightInd w:val="0"/>
        <w:spacing w:line="400" w:lineRule="exact"/>
        <w:jc w:val="center"/>
        <w:rPr>
          <w:b/>
          <w:color w:val="000000"/>
          <w:kern w:val="0"/>
          <w:sz w:val="36"/>
          <w:szCs w:val="36"/>
        </w:rPr>
      </w:pPr>
      <w:r w:rsidRPr="00496E9C">
        <w:rPr>
          <w:rFonts w:hAnsi="標楷體"/>
          <w:b/>
          <w:color w:val="000000"/>
          <w:kern w:val="0"/>
          <w:sz w:val="36"/>
          <w:szCs w:val="36"/>
        </w:rPr>
        <w:t>運動後能量再回填對於餐後血脂肪清除率之探討</w:t>
      </w:r>
    </w:p>
    <w:p w:rsidR="00E87184" w:rsidRPr="00496E9C" w:rsidRDefault="00E87184" w:rsidP="00E87184">
      <w:pPr>
        <w:autoSpaceDE w:val="0"/>
        <w:autoSpaceDN w:val="0"/>
        <w:adjustRightInd w:val="0"/>
        <w:spacing w:line="400" w:lineRule="exact"/>
        <w:jc w:val="center"/>
        <w:rPr>
          <w:b/>
          <w:color w:val="000000"/>
          <w:kern w:val="0"/>
        </w:rPr>
      </w:pPr>
    </w:p>
    <w:p w:rsidR="00E87184" w:rsidRPr="00496E9C" w:rsidRDefault="00E87184" w:rsidP="00E87184">
      <w:pPr>
        <w:autoSpaceDE w:val="0"/>
        <w:autoSpaceDN w:val="0"/>
        <w:adjustRightInd w:val="0"/>
        <w:spacing w:line="400" w:lineRule="exact"/>
        <w:jc w:val="center"/>
        <w:rPr>
          <w:b/>
          <w:color w:val="000000"/>
          <w:kern w:val="0"/>
        </w:rPr>
      </w:pPr>
      <w:r w:rsidRPr="00496E9C">
        <w:rPr>
          <w:rFonts w:hAnsi="標楷體"/>
          <w:b/>
          <w:color w:val="000000"/>
          <w:kern w:val="0"/>
        </w:rPr>
        <w:t>陳芳喬</w:t>
      </w:r>
      <w:r w:rsidRPr="00496E9C">
        <w:rPr>
          <w:b/>
          <w:color w:val="000000"/>
          <w:kern w:val="0"/>
          <w:vertAlign w:val="superscript"/>
        </w:rPr>
        <w:t>1</w:t>
      </w:r>
      <w:r w:rsidRPr="00496E9C">
        <w:rPr>
          <w:b/>
          <w:color w:val="000000"/>
          <w:kern w:val="0"/>
        </w:rPr>
        <w:t xml:space="preserve"> </w:t>
      </w:r>
      <w:r w:rsidRPr="00496E9C">
        <w:rPr>
          <w:rFonts w:hAnsi="標楷體"/>
          <w:b/>
          <w:color w:val="000000"/>
          <w:kern w:val="0"/>
        </w:rPr>
        <w:t>張沂欣</w:t>
      </w:r>
      <w:r w:rsidRPr="00496E9C">
        <w:rPr>
          <w:b/>
          <w:color w:val="000000"/>
          <w:kern w:val="0"/>
          <w:vertAlign w:val="superscript"/>
        </w:rPr>
        <w:t>2</w:t>
      </w:r>
      <w:r w:rsidRPr="00496E9C">
        <w:rPr>
          <w:b/>
          <w:color w:val="000000"/>
          <w:kern w:val="0"/>
        </w:rPr>
        <w:t xml:space="preserve"> </w:t>
      </w:r>
      <w:r w:rsidRPr="00496E9C">
        <w:rPr>
          <w:rFonts w:hAnsi="標楷體"/>
          <w:b/>
          <w:color w:val="000000"/>
          <w:kern w:val="0"/>
        </w:rPr>
        <w:t>巫錦霖</w:t>
      </w:r>
      <w:r w:rsidRPr="00496E9C">
        <w:rPr>
          <w:b/>
          <w:color w:val="000000"/>
          <w:kern w:val="0"/>
          <w:vertAlign w:val="superscript"/>
        </w:rPr>
        <w:t>1</w:t>
      </w:r>
    </w:p>
    <w:p w:rsidR="00E87184" w:rsidRPr="00496E9C" w:rsidRDefault="00E87184" w:rsidP="00E87184">
      <w:pPr>
        <w:autoSpaceDE w:val="0"/>
        <w:autoSpaceDN w:val="0"/>
        <w:adjustRightInd w:val="0"/>
        <w:spacing w:line="400" w:lineRule="exact"/>
        <w:jc w:val="center"/>
        <w:rPr>
          <w:color w:val="000000"/>
          <w:kern w:val="0"/>
          <w:sz w:val="20"/>
          <w:szCs w:val="20"/>
        </w:rPr>
      </w:pPr>
      <w:r w:rsidRPr="00496E9C">
        <w:rPr>
          <w:color w:val="000000"/>
          <w:kern w:val="0"/>
          <w:sz w:val="20"/>
          <w:szCs w:val="20"/>
          <w:vertAlign w:val="superscript"/>
        </w:rPr>
        <w:t>1</w:t>
      </w:r>
      <w:r w:rsidRPr="00496E9C">
        <w:rPr>
          <w:rFonts w:hAnsi="標楷體"/>
          <w:color w:val="000000"/>
          <w:kern w:val="0"/>
          <w:sz w:val="20"/>
          <w:szCs w:val="20"/>
        </w:rPr>
        <w:t>國立中興大學運動與健康管理研究所</w:t>
      </w:r>
      <w:r w:rsidRPr="00496E9C">
        <w:rPr>
          <w:color w:val="000000"/>
          <w:kern w:val="0"/>
          <w:sz w:val="20"/>
          <w:szCs w:val="20"/>
        </w:rPr>
        <w:t xml:space="preserve"> </w:t>
      </w:r>
      <w:r w:rsidRPr="00496E9C">
        <w:rPr>
          <w:color w:val="000000"/>
          <w:kern w:val="0"/>
          <w:sz w:val="20"/>
          <w:szCs w:val="20"/>
          <w:vertAlign w:val="superscript"/>
        </w:rPr>
        <w:t>2</w:t>
      </w:r>
      <w:r w:rsidRPr="00496E9C">
        <w:rPr>
          <w:rFonts w:hAnsi="標楷體"/>
          <w:color w:val="000000"/>
          <w:kern w:val="0"/>
          <w:sz w:val="20"/>
          <w:szCs w:val="20"/>
        </w:rPr>
        <w:t>國立</w:t>
      </w:r>
      <w:r>
        <w:rPr>
          <w:rFonts w:hAnsi="標楷體"/>
          <w:color w:val="000000"/>
          <w:kern w:val="0"/>
          <w:sz w:val="20"/>
          <w:szCs w:val="20"/>
        </w:rPr>
        <w:t>臺</w:t>
      </w:r>
      <w:r w:rsidRPr="00496E9C">
        <w:rPr>
          <w:rFonts w:hAnsi="標楷體"/>
          <w:color w:val="000000"/>
          <w:kern w:val="0"/>
          <w:sz w:val="20"/>
          <w:szCs w:val="20"/>
        </w:rPr>
        <w:t>灣體育學院運動健康科學學系</w:t>
      </w:r>
    </w:p>
    <w:p w:rsidR="00E87184" w:rsidRPr="00496E9C" w:rsidRDefault="00E87184" w:rsidP="00E87184">
      <w:pPr>
        <w:autoSpaceDE w:val="0"/>
        <w:autoSpaceDN w:val="0"/>
        <w:adjustRightInd w:val="0"/>
        <w:spacing w:line="400" w:lineRule="exact"/>
        <w:rPr>
          <w:b/>
          <w:color w:val="000000"/>
          <w:kern w:val="0"/>
        </w:rPr>
      </w:pPr>
    </w:p>
    <w:p w:rsidR="00E87184" w:rsidRPr="00496E9C" w:rsidRDefault="00E87184" w:rsidP="00E87184">
      <w:pPr>
        <w:autoSpaceDE w:val="0"/>
        <w:autoSpaceDN w:val="0"/>
        <w:adjustRightInd w:val="0"/>
        <w:spacing w:line="400" w:lineRule="exact"/>
        <w:rPr>
          <w:color w:val="000000"/>
          <w:kern w:val="0"/>
        </w:rPr>
      </w:pPr>
      <w:r w:rsidRPr="00496E9C">
        <w:rPr>
          <w:rFonts w:hAnsi="標楷體"/>
          <w:b/>
          <w:color w:val="000000"/>
          <w:kern w:val="0"/>
        </w:rPr>
        <w:t>目的</w:t>
      </w:r>
      <w:r w:rsidRPr="00496E9C">
        <w:rPr>
          <w:rFonts w:hAnsi="標楷體"/>
          <w:color w:val="000000"/>
          <w:kern w:val="0"/>
        </w:rPr>
        <w:t>：研究中指出餐前單次的有氧運動可以降低餐後血脂升高的現象，然而運動造成的能量的負平衡是否會影響餐後血脂肪清除率目前仍然不清楚。本研究以低強度走路運動並以葡萄糖填補運動時所消耗的熱量，探討能量填補與運動降低餐後血脂之影響。</w:t>
      </w:r>
      <w:r w:rsidRPr="00496E9C">
        <w:rPr>
          <w:rFonts w:hAnsi="標楷體"/>
          <w:b/>
          <w:color w:val="000000"/>
          <w:kern w:val="0"/>
        </w:rPr>
        <w:t>方法</w:t>
      </w:r>
      <w:r w:rsidRPr="00496E9C">
        <w:rPr>
          <w:rFonts w:hAnsi="標楷體"/>
          <w:color w:val="000000"/>
          <w:kern w:val="0"/>
        </w:rPr>
        <w:t>：以</w:t>
      </w:r>
      <w:r w:rsidRPr="00496E9C">
        <w:rPr>
          <w:color w:val="000000"/>
          <w:kern w:val="0"/>
        </w:rPr>
        <w:t>6</w:t>
      </w:r>
      <w:r w:rsidRPr="00496E9C">
        <w:rPr>
          <w:rFonts w:hAnsi="標楷體"/>
          <w:color w:val="000000"/>
          <w:kern w:val="0"/>
        </w:rPr>
        <w:t>名沒運動習慣的健康成年男性隨機進行三組：控制組</w:t>
      </w:r>
      <w:r w:rsidRPr="00496E9C">
        <w:rPr>
          <w:color w:val="000000"/>
          <w:kern w:val="0"/>
        </w:rPr>
        <w:t>(C)</w:t>
      </w:r>
      <w:r w:rsidRPr="00496E9C">
        <w:rPr>
          <w:rFonts w:hAnsi="標楷體"/>
          <w:color w:val="000000"/>
          <w:kern w:val="0"/>
        </w:rPr>
        <w:t>、運動組</w:t>
      </w:r>
      <w:r w:rsidRPr="00496E9C">
        <w:rPr>
          <w:color w:val="000000"/>
          <w:kern w:val="0"/>
        </w:rPr>
        <w:t>(EX)</w:t>
      </w:r>
      <w:r w:rsidRPr="00496E9C">
        <w:rPr>
          <w:rFonts w:hAnsi="標楷體"/>
          <w:color w:val="000000"/>
          <w:kern w:val="0"/>
        </w:rPr>
        <w:t>、運動加葡萄糖補充組</w:t>
      </w:r>
      <w:r w:rsidRPr="00496E9C">
        <w:rPr>
          <w:color w:val="000000"/>
          <w:kern w:val="0"/>
        </w:rPr>
        <w:t>(EXG)</w:t>
      </w:r>
      <w:r w:rsidRPr="00496E9C">
        <w:rPr>
          <w:rFonts w:hAnsi="標楷體"/>
          <w:color w:val="000000"/>
          <w:kern w:val="0"/>
        </w:rPr>
        <w:t>。</w:t>
      </w:r>
      <w:r w:rsidRPr="00496E9C">
        <w:rPr>
          <w:color w:val="000000"/>
          <w:kern w:val="0"/>
        </w:rPr>
        <w:t>EX</w:t>
      </w:r>
      <w:r w:rsidRPr="00496E9C">
        <w:rPr>
          <w:rFonts w:hAnsi="標楷體"/>
          <w:color w:val="000000"/>
          <w:kern w:val="0"/>
        </w:rPr>
        <w:t>及</w:t>
      </w:r>
      <w:r w:rsidRPr="00496E9C">
        <w:rPr>
          <w:color w:val="000000"/>
          <w:kern w:val="0"/>
        </w:rPr>
        <w:t>EXG</w:t>
      </w:r>
      <w:r w:rsidRPr="00496E9C">
        <w:rPr>
          <w:rFonts w:hAnsi="標楷體"/>
          <w:color w:val="000000"/>
          <w:kern w:val="0"/>
        </w:rPr>
        <w:t>組在實驗前一天下午進行</w:t>
      </w:r>
      <w:r w:rsidRPr="00496E9C">
        <w:rPr>
          <w:color w:val="000000"/>
          <w:kern w:val="0"/>
        </w:rPr>
        <w:t>1</w:t>
      </w:r>
      <w:r w:rsidRPr="00496E9C">
        <w:rPr>
          <w:rFonts w:hAnsi="標楷體"/>
          <w:color w:val="000000"/>
          <w:kern w:val="0"/>
        </w:rPr>
        <w:t>小時</w:t>
      </w:r>
      <w:r w:rsidRPr="00496E9C">
        <w:rPr>
          <w:color w:val="000000"/>
          <w:kern w:val="0"/>
        </w:rPr>
        <w:t>50%VO</w:t>
      </w:r>
      <w:r w:rsidRPr="00496E9C">
        <w:rPr>
          <w:color w:val="000000"/>
          <w:kern w:val="0"/>
          <w:vertAlign w:val="subscript"/>
        </w:rPr>
        <w:t>2max</w:t>
      </w:r>
      <w:r w:rsidRPr="00496E9C">
        <w:rPr>
          <w:rFonts w:hAnsi="標楷體"/>
          <w:color w:val="000000"/>
          <w:kern w:val="0"/>
        </w:rPr>
        <w:t>的走路運動，其中</w:t>
      </w:r>
      <w:r w:rsidRPr="00496E9C">
        <w:rPr>
          <w:color w:val="000000"/>
          <w:kern w:val="0"/>
        </w:rPr>
        <w:t>EXG</w:t>
      </w:r>
      <w:r w:rsidRPr="00496E9C">
        <w:rPr>
          <w:rFonts w:hAnsi="標楷體"/>
          <w:color w:val="000000"/>
          <w:kern w:val="0"/>
        </w:rPr>
        <w:t>組在運動後以葡萄糖補充因運動所消耗的能量，</w:t>
      </w:r>
      <w:r w:rsidRPr="00496E9C">
        <w:rPr>
          <w:color w:val="000000"/>
          <w:kern w:val="0"/>
        </w:rPr>
        <w:t>C</w:t>
      </w:r>
      <w:r w:rsidRPr="00496E9C">
        <w:rPr>
          <w:rFonts w:hAnsi="標楷體"/>
          <w:color w:val="000000"/>
          <w:kern w:val="0"/>
        </w:rPr>
        <w:t>組則完全休息，三組均在隔天早上給予高脂肪餐，收集並分析餐前、餐後</w:t>
      </w:r>
      <w:r w:rsidRPr="00496E9C">
        <w:rPr>
          <w:color w:val="000000"/>
          <w:kern w:val="0"/>
        </w:rPr>
        <w:t>30min</w:t>
      </w:r>
      <w:r w:rsidRPr="00496E9C">
        <w:rPr>
          <w:rFonts w:hAnsi="標楷體"/>
          <w:color w:val="000000"/>
          <w:kern w:val="0"/>
        </w:rPr>
        <w:t>、</w:t>
      </w:r>
      <w:r w:rsidRPr="00496E9C">
        <w:rPr>
          <w:color w:val="000000"/>
          <w:kern w:val="0"/>
        </w:rPr>
        <w:t>1</w:t>
      </w:r>
      <w:r w:rsidRPr="00496E9C">
        <w:rPr>
          <w:rFonts w:hAnsi="標楷體"/>
          <w:color w:val="000000"/>
          <w:kern w:val="0"/>
        </w:rPr>
        <w:t>、</w:t>
      </w:r>
      <w:r w:rsidRPr="00496E9C">
        <w:rPr>
          <w:color w:val="000000"/>
          <w:kern w:val="0"/>
        </w:rPr>
        <w:t>2</w:t>
      </w:r>
      <w:r w:rsidRPr="00496E9C">
        <w:rPr>
          <w:rFonts w:hAnsi="標楷體"/>
          <w:color w:val="000000"/>
          <w:kern w:val="0"/>
        </w:rPr>
        <w:t>、</w:t>
      </w:r>
      <w:r w:rsidRPr="00496E9C">
        <w:rPr>
          <w:color w:val="000000"/>
          <w:kern w:val="0"/>
        </w:rPr>
        <w:t>3</w:t>
      </w:r>
      <w:r w:rsidRPr="00496E9C">
        <w:rPr>
          <w:rFonts w:hAnsi="標楷體"/>
          <w:color w:val="000000"/>
          <w:kern w:val="0"/>
        </w:rPr>
        <w:t>、</w:t>
      </w:r>
      <w:r w:rsidRPr="00496E9C">
        <w:rPr>
          <w:color w:val="000000"/>
          <w:kern w:val="0"/>
        </w:rPr>
        <w:t>4</w:t>
      </w:r>
      <w:r w:rsidRPr="00496E9C">
        <w:rPr>
          <w:rFonts w:hAnsi="標楷體"/>
          <w:color w:val="000000"/>
          <w:kern w:val="0"/>
        </w:rPr>
        <w:t>、</w:t>
      </w:r>
      <w:r w:rsidRPr="00496E9C">
        <w:rPr>
          <w:color w:val="000000"/>
          <w:kern w:val="0"/>
        </w:rPr>
        <w:t>5</w:t>
      </w:r>
      <w:r w:rsidRPr="00496E9C">
        <w:rPr>
          <w:rFonts w:hAnsi="標楷體"/>
          <w:color w:val="000000"/>
          <w:kern w:val="0"/>
        </w:rPr>
        <w:t>、</w:t>
      </w:r>
      <w:r w:rsidRPr="00496E9C">
        <w:rPr>
          <w:color w:val="000000"/>
          <w:kern w:val="0"/>
        </w:rPr>
        <w:t>6h</w:t>
      </w:r>
      <w:r w:rsidRPr="00496E9C">
        <w:rPr>
          <w:rFonts w:hAnsi="標楷體"/>
          <w:color w:val="000000"/>
          <w:kern w:val="0"/>
        </w:rPr>
        <w:t>的血液樣本。實驗數據以雙因子變異數分析</w:t>
      </w:r>
      <w:r w:rsidRPr="00496E9C">
        <w:rPr>
          <w:color w:val="000000"/>
          <w:kern w:val="0"/>
        </w:rPr>
        <w:t>(repeat measure two-way ANOVA)</w:t>
      </w:r>
      <w:r w:rsidRPr="00496E9C">
        <w:rPr>
          <w:rFonts w:hAnsi="標楷體"/>
          <w:color w:val="000000"/>
          <w:kern w:val="0"/>
        </w:rPr>
        <w:t>進行統計分析。</w:t>
      </w:r>
      <w:r w:rsidRPr="00496E9C">
        <w:rPr>
          <w:rFonts w:hAnsi="標楷體"/>
          <w:b/>
          <w:color w:val="000000"/>
          <w:kern w:val="0"/>
        </w:rPr>
        <w:t>結果與結論</w:t>
      </w:r>
      <w:r w:rsidRPr="00496E9C">
        <w:rPr>
          <w:rFonts w:hAnsi="標楷體"/>
          <w:color w:val="000000"/>
          <w:kern w:val="0"/>
        </w:rPr>
        <w:t>：本研究在血液生化分析發現：</w:t>
      </w:r>
      <w:r w:rsidRPr="00496E9C">
        <w:rPr>
          <w:color w:val="000000"/>
          <w:kern w:val="0"/>
        </w:rPr>
        <w:t>EXG</w:t>
      </w:r>
      <w:r w:rsidRPr="00496E9C">
        <w:rPr>
          <w:rFonts w:hAnsi="標楷體"/>
          <w:color w:val="000000"/>
          <w:kern w:val="0"/>
        </w:rPr>
        <w:t>組的餐後三酸甘油脂濃度明顯低於</w:t>
      </w:r>
      <w:r w:rsidRPr="00496E9C">
        <w:rPr>
          <w:color w:val="000000"/>
          <w:kern w:val="0"/>
        </w:rPr>
        <w:t>C</w:t>
      </w:r>
      <w:r w:rsidRPr="00496E9C">
        <w:rPr>
          <w:rFonts w:hAnsi="標楷體"/>
          <w:color w:val="000000"/>
          <w:kern w:val="0"/>
        </w:rPr>
        <w:t>組</w:t>
      </w:r>
      <w:r w:rsidRPr="00496E9C">
        <w:rPr>
          <w:color w:val="000000"/>
          <w:kern w:val="0"/>
        </w:rPr>
        <w:t>(p=0.002)</w:t>
      </w:r>
      <w:r w:rsidRPr="00496E9C">
        <w:rPr>
          <w:rFonts w:hAnsi="標楷體"/>
          <w:color w:val="000000"/>
          <w:kern w:val="0"/>
        </w:rPr>
        <w:t>，而</w:t>
      </w:r>
      <w:r w:rsidRPr="00496E9C">
        <w:rPr>
          <w:color w:val="000000"/>
          <w:kern w:val="0"/>
        </w:rPr>
        <w:t>EX</w:t>
      </w:r>
      <w:r w:rsidRPr="00496E9C">
        <w:rPr>
          <w:rFonts w:hAnsi="標楷體"/>
          <w:color w:val="000000"/>
          <w:kern w:val="0"/>
        </w:rPr>
        <w:t>組則有低於</w:t>
      </w:r>
      <w:r w:rsidRPr="00496E9C">
        <w:rPr>
          <w:color w:val="000000"/>
          <w:kern w:val="0"/>
        </w:rPr>
        <w:t>C</w:t>
      </w:r>
      <w:r w:rsidRPr="00496E9C">
        <w:rPr>
          <w:rFonts w:hAnsi="標楷體"/>
          <w:color w:val="000000"/>
          <w:kern w:val="0"/>
        </w:rPr>
        <w:t>組的趨勢</w:t>
      </w:r>
      <w:r w:rsidRPr="00496E9C">
        <w:rPr>
          <w:color w:val="000000"/>
          <w:kern w:val="0"/>
        </w:rPr>
        <w:t>(p=0.089)</w:t>
      </w:r>
      <w:r w:rsidRPr="00496E9C">
        <w:rPr>
          <w:rFonts w:hAnsi="標楷體"/>
          <w:color w:val="000000"/>
          <w:kern w:val="0"/>
        </w:rPr>
        <w:t>。</w:t>
      </w:r>
      <w:r w:rsidRPr="00496E9C">
        <w:rPr>
          <w:color w:val="000000"/>
          <w:kern w:val="0"/>
        </w:rPr>
        <w:t>EXG</w:t>
      </w:r>
      <w:r w:rsidRPr="00496E9C">
        <w:rPr>
          <w:rFonts w:hAnsi="標楷體"/>
          <w:color w:val="000000"/>
          <w:kern w:val="0"/>
        </w:rPr>
        <w:t>組及</w:t>
      </w:r>
      <w:r w:rsidRPr="00496E9C">
        <w:rPr>
          <w:color w:val="000000"/>
          <w:kern w:val="0"/>
        </w:rPr>
        <w:t>EX</w:t>
      </w:r>
      <w:r w:rsidRPr="00496E9C">
        <w:rPr>
          <w:rFonts w:hAnsi="標楷體"/>
          <w:color w:val="000000"/>
          <w:kern w:val="0"/>
        </w:rPr>
        <w:t>組之間並沒有顯著差異。此外，這三組在血液中的胰島素以及血糖都沒有顯著差異。結論：本研究顯示在運動能加速餐後血脂肪的清除率，但是運動後能量的平衡與否並不會影響高脂肪餐後的血脂肪清除率。</w:t>
      </w:r>
    </w:p>
    <w:p w:rsidR="00E87184" w:rsidRDefault="00E87184" w:rsidP="00E87184">
      <w:pPr>
        <w:autoSpaceDE w:val="0"/>
        <w:autoSpaceDN w:val="0"/>
        <w:adjustRightInd w:val="0"/>
        <w:spacing w:line="400" w:lineRule="exact"/>
        <w:rPr>
          <w:rFonts w:hAnsi="標楷體"/>
          <w:b/>
          <w:color w:val="000000"/>
          <w:kern w:val="0"/>
        </w:rPr>
      </w:pPr>
      <w:r w:rsidRPr="00496E9C">
        <w:rPr>
          <w:rFonts w:hAnsi="標楷體"/>
          <w:b/>
          <w:color w:val="000000"/>
          <w:kern w:val="0"/>
        </w:rPr>
        <w:t>關鍵詞：餐後血脂、有氧運動、能量回填</w:t>
      </w:r>
    </w:p>
    <w:p w:rsidR="00E87184" w:rsidRPr="00496E9C" w:rsidRDefault="00E87184" w:rsidP="00E87184">
      <w:pPr>
        <w:rPr>
          <w:rFonts w:hint="eastAsia"/>
          <w:b/>
          <w:color w:val="000000"/>
        </w:rPr>
      </w:pPr>
      <w:r>
        <w:rPr>
          <w:rFonts w:hint="eastAsia"/>
          <w:b/>
          <w:color w:val="000000"/>
          <w:kern w:val="0"/>
        </w:rPr>
        <w:t>通訊作者：巫錦</w:t>
      </w:r>
      <w:r w:rsidRPr="00742DBC">
        <w:rPr>
          <w:rFonts w:hint="eastAsia"/>
          <w:b/>
          <w:color w:val="000000"/>
          <w:kern w:val="0"/>
        </w:rPr>
        <w:t>霖，</w:t>
      </w:r>
      <w:hyperlink r:id="rId6" w:history="1">
        <w:r w:rsidRPr="00742DBC">
          <w:rPr>
            <w:rStyle w:val="a7"/>
            <w:rFonts w:hint="eastAsia"/>
            <w:b/>
            <w:color w:val="000000"/>
          </w:rPr>
          <w:t>psclw@dragon.nchu.edu.tw</w:t>
        </w:r>
      </w:hyperlink>
      <w:r w:rsidRPr="00742DBC">
        <w:rPr>
          <w:rFonts w:hint="eastAsia"/>
          <w:b/>
          <w:color w:val="000000"/>
        </w:rPr>
        <w:t>, +886-4-22840845 ext 602</w:t>
      </w:r>
      <w:r w:rsidRPr="00496E9C">
        <w:rPr>
          <w:rFonts w:hint="eastAsia"/>
          <w:b/>
          <w:color w:val="000000"/>
        </w:rPr>
        <w:t xml:space="preserve"> </w:t>
      </w:r>
    </w:p>
    <w:p w:rsidR="00AD5CC4" w:rsidRPr="00E87184" w:rsidRDefault="008F5643">
      <w:bookmarkStart w:id="0" w:name="_GoBack"/>
      <w:bookmarkEnd w:id="0"/>
    </w:p>
    <w:sectPr w:rsidR="00AD5CC4" w:rsidRPr="00E87184" w:rsidSect="005A1B65">
      <w:pgSz w:w="11906" w:h="16838" w:code="9"/>
      <w:pgMar w:top="1418" w:right="1797" w:bottom="1440" w:left="1797"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43" w:rsidRDefault="008F5643" w:rsidP="00E87184">
      <w:r>
        <w:separator/>
      </w:r>
    </w:p>
  </w:endnote>
  <w:endnote w:type="continuationSeparator" w:id="0">
    <w:p w:rsidR="008F5643" w:rsidRDefault="008F5643" w:rsidP="00E8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43" w:rsidRDefault="008F5643" w:rsidP="00E87184">
      <w:r>
        <w:separator/>
      </w:r>
    </w:p>
  </w:footnote>
  <w:footnote w:type="continuationSeparator" w:id="0">
    <w:p w:rsidR="008F5643" w:rsidRDefault="008F5643" w:rsidP="00E87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E"/>
    <w:rsid w:val="0021289E"/>
    <w:rsid w:val="00383136"/>
    <w:rsid w:val="004154C2"/>
    <w:rsid w:val="005A1B65"/>
    <w:rsid w:val="008076CA"/>
    <w:rsid w:val="008F5643"/>
    <w:rsid w:val="00E31A47"/>
    <w:rsid w:val="00E8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48B49-D745-4BBB-ADF4-3AD2E7B4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84"/>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184"/>
    <w:pPr>
      <w:tabs>
        <w:tab w:val="center" w:pos="4153"/>
        <w:tab w:val="right" w:pos="8306"/>
      </w:tabs>
      <w:snapToGrid w:val="0"/>
    </w:pPr>
    <w:rPr>
      <w:rFonts w:cstheme="minorBidi"/>
      <w:sz w:val="20"/>
      <w:szCs w:val="20"/>
    </w:rPr>
  </w:style>
  <w:style w:type="character" w:customStyle="1" w:styleId="a4">
    <w:name w:val="頁首 字元"/>
    <w:basedOn w:val="a0"/>
    <w:link w:val="a3"/>
    <w:uiPriority w:val="99"/>
    <w:rsid w:val="00E87184"/>
    <w:rPr>
      <w:rFonts w:ascii="Times New Roman" w:eastAsia="標楷體" w:hAnsi="Times New Roman"/>
      <w:sz w:val="20"/>
      <w:szCs w:val="20"/>
    </w:rPr>
  </w:style>
  <w:style w:type="paragraph" w:styleId="a5">
    <w:name w:val="footer"/>
    <w:basedOn w:val="a"/>
    <w:link w:val="a6"/>
    <w:uiPriority w:val="99"/>
    <w:unhideWhenUsed/>
    <w:rsid w:val="00E87184"/>
    <w:pPr>
      <w:tabs>
        <w:tab w:val="center" w:pos="4153"/>
        <w:tab w:val="right" w:pos="8306"/>
      </w:tabs>
      <w:snapToGrid w:val="0"/>
    </w:pPr>
    <w:rPr>
      <w:rFonts w:cstheme="minorBidi"/>
      <w:sz w:val="20"/>
      <w:szCs w:val="20"/>
    </w:rPr>
  </w:style>
  <w:style w:type="character" w:customStyle="1" w:styleId="a6">
    <w:name w:val="頁尾 字元"/>
    <w:basedOn w:val="a0"/>
    <w:link w:val="a5"/>
    <w:uiPriority w:val="99"/>
    <w:rsid w:val="00E87184"/>
    <w:rPr>
      <w:rFonts w:ascii="Times New Roman" w:eastAsia="標楷體" w:hAnsi="Times New Roman"/>
      <w:sz w:val="20"/>
      <w:szCs w:val="20"/>
    </w:rPr>
  </w:style>
  <w:style w:type="character" w:styleId="a7">
    <w:name w:val="Hyperlink"/>
    <w:rsid w:val="00E87184"/>
    <w:rPr>
      <w:color w:val="66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clw@dragon.nch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2022-03-03T01:54:00Z</dcterms:created>
  <dcterms:modified xsi:type="dcterms:W3CDTF">2022-03-03T01:54:00Z</dcterms:modified>
</cp:coreProperties>
</file>